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AC" w:rsidRPr="00237F2E" w:rsidRDefault="007804AC" w:rsidP="00237F2E">
      <w:pPr>
        <w:pStyle w:val="Heading5"/>
        <w:spacing w:before="0" w:beforeAutospacing="0" w:after="120" w:afterAutospacing="0"/>
      </w:pPr>
      <w:r w:rsidRPr="00237F2E">
        <w:t>Federal Regulations Adopted by Reference</w:t>
      </w:r>
    </w:p>
    <w:p w:rsidR="00B271E9" w:rsidRPr="00237F2E" w:rsidRDefault="007804AC" w:rsidP="00237F2E">
      <w:pPr>
        <w:pStyle w:val="Heading5"/>
        <w:spacing w:before="0" w:beforeAutospacing="0" w:after="120" w:afterAutospacing="0"/>
        <w:rPr>
          <w:b w:val="0"/>
        </w:rPr>
      </w:pPr>
      <w:r w:rsidRPr="00237F2E">
        <w:rPr>
          <w:b w:val="0"/>
        </w:rPr>
        <w:t xml:space="preserve">In accordance with Rule 62-204.800, F.A.C., the </w:t>
      </w:r>
      <w:r w:rsidR="000D38BB" w:rsidRPr="00237F2E">
        <w:rPr>
          <w:b w:val="0"/>
        </w:rPr>
        <w:t xml:space="preserve">following </w:t>
      </w:r>
      <w:r w:rsidRPr="00237F2E">
        <w:rPr>
          <w:b w:val="0"/>
        </w:rPr>
        <w:t xml:space="preserve">federal regulation </w:t>
      </w:r>
      <w:r w:rsidR="000D38BB" w:rsidRPr="00237F2E">
        <w:rPr>
          <w:b w:val="0"/>
        </w:rPr>
        <w:t xml:space="preserve">in Title 40 of the Code of Federal Regulations </w:t>
      </w:r>
      <w:r w:rsidR="004B3A35" w:rsidRPr="00237F2E">
        <w:rPr>
          <w:b w:val="0"/>
        </w:rPr>
        <w:t xml:space="preserve">(CFR) </w:t>
      </w:r>
      <w:r w:rsidR="000D38BB" w:rsidRPr="00237F2E">
        <w:rPr>
          <w:b w:val="0"/>
        </w:rPr>
        <w:t xml:space="preserve">was </w:t>
      </w:r>
      <w:r w:rsidRPr="00237F2E">
        <w:rPr>
          <w:b w:val="0"/>
        </w:rPr>
        <w:t xml:space="preserve">adopted by reference.  </w:t>
      </w:r>
      <w:r w:rsidR="000D38BB" w:rsidRPr="00237F2E">
        <w:rPr>
          <w:b w:val="0"/>
        </w:rPr>
        <w:t>T</w:t>
      </w:r>
      <w:r w:rsidRPr="00237F2E">
        <w:rPr>
          <w:b w:val="0"/>
        </w:rPr>
        <w:t>he original federal rule numbering has been retained.</w:t>
      </w:r>
    </w:p>
    <w:p w:rsidR="000368AC" w:rsidRPr="00237F2E" w:rsidRDefault="000368AC" w:rsidP="00237F2E">
      <w:pPr>
        <w:pStyle w:val="Heading5"/>
        <w:spacing w:before="0" w:beforeAutospacing="0" w:after="120" w:afterAutospacing="0"/>
        <w:ind w:left="360"/>
        <w:rPr>
          <w:b w:val="0"/>
          <w:i/>
        </w:rPr>
      </w:pPr>
      <w:r w:rsidRPr="00237F2E">
        <w:rPr>
          <w:b w:val="0"/>
          <w:i/>
        </w:rPr>
        <w:t xml:space="preserve">Federal Revision Date:  </w:t>
      </w:r>
      <w:r w:rsidR="00237F2E" w:rsidRPr="00237F2E">
        <w:rPr>
          <w:b w:val="0"/>
          <w:i/>
        </w:rPr>
        <w:t>January 28, 2009</w:t>
      </w:r>
    </w:p>
    <w:p w:rsidR="00B271E9" w:rsidRPr="00237F2E" w:rsidRDefault="00237F2E" w:rsidP="00237F2E">
      <w:pPr>
        <w:pStyle w:val="Heading5"/>
        <w:spacing w:before="0" w:beforeAutospacing="0" w:after="120" w:afterAutospacing="0"/>
        <w:ind w:left="360"/>
        <w:rPr>
          <w:b w:val="0"/>
          <w:i/>
        </w:rPr>
      </w:pPr>
      <w:r w:rsidRPr="00237F2E">
        <w:rPr>
          <w:b w:val="0"/>
          <w:i/>
        </w:rPr>
        <w:t xml:space="preserve">State </w:t>
      </w:r>
      <w:r w:rsidR="000D38BB" w:rsidRPr="00237F2E">
        <w:rPr>
          <w:b w:val="0"/>
          <w:i/>
        </w:rPr>
        <w:t xml:space="preserve">Rule </w:t>
      </w:r>
      <w:r w:rsidR="00B271E9" w:rsidRPr="00237F2E">
        <w:rPr>
          <w:b w:val="0"/>
          <w:i/>
        </w:rPr>
        <w:t xml:space="preserve">Effective </w:t>
      </w:r>
      <w:r w:rsidR="000D38BB" w:rsidRPr="00237F2E">
        <w:rPr>
          <w:b w:val="0"/>
          <w:i/>
        </w:rPr>
        <w:t xml:space="preserve">Date:  </w:t>
      </w:r>
      <w:r w:rsidRPr="00237F2E">
        <w:rPr>
          <w:b w:val="0"/>
          <w:i/>
        </w:rPr>
        <w:t>November 18, 2009</w:t>
      </w:r>
    </w:p>
    <w:p w:rsidR="00237F2E" w:rsidRDefault="000D38BB" w:rsidP="006A1764">
      <w:pPr>
        <w:pStyle w:val="Heading5"/>
        <w:spacing w:before="0" w:beforeAutospacing="0" w:after="120" w:afterAutospacing="0"/>
        <w:ind w:firstLine="360"/>
        <w:rPr>
          <w:b w:val="0"/>
          <w:i/>
        </w:rPr>
      </w:pPr>
      <w:r w:rsidRPr="00237F2E">
        <w:rPr>
          <w:b w:val="0"/>
          <w:i/>
        </w:rPr>
        <w:t>Standard</w:t>
      </w:r>
      <w:r w:rsidR="004B3A35" w:rsidRPr="00237F2E">
        <w:rPr>
          <w:b w:val="0"/>
          <w:i/>
        </w:rPr>
        <w:t>ized</w:t>
      </w:r>
      <w:r w:rsidRPr="00237F2E">
        <w:rPr>
          <w:b w:val="0"/>
          <w:i/>
        </w:rPr>
        <w:t xml:space="preserve"> Conditions Revision Date:  </w:t>
      </w:r>
      <w:r w:rsidR="00237F2E" w:rsidRPr="004B1C8F">
        <w:rPr>
          <w:b w:val="0"/>
          <w:i/>
        </w:rPr>
        <w:t>February 5, 2010</w:t>
      </w:r>
    </w:p>
    <w:p w:rsidR="00237F2E" w:rsidRPr="00237F2E" w:rsidRDefault="00237F2E" w:rsidP="00237F2E">
      <w:pPr>
        <w:pStyle w:val="Heading5"/>
        <w:spacing w:before="0" w:beforeAutospacing="0" w:after="120" w:afterAutospacing="0"/>
      </w:pPr>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Clean coal technology demonstration project </w:t>
      </w:r>
      <w:r w:rsidR="00237F2E"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Nitrogen oxides </w:t>
      </w:r>
      <w:r w:rsidR="00237F2E"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Standard </w:t>
      </w:r>
      <w:r w:rsidR="00237F2E"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7B12B0" w:rsidP="00FE0691">
      <w:pPr>
        <w:spacing w:after="120"/>
        <w:ind w:left="360"/>
        <w:rPr>
          <w:sz w:val="20"/>
          <w:szCs w:val="20"/>
        </w:rPr>
      </w:pPr>
      <w:r>
        <w:rPr>
          <w:sz w:val="20"/>
          <w:szCs w:val="20"/>
        </w:rPr>
        <w:br w:type="page"/>
      </w:r>
      <w:r w:rsidR="00237F2E" w:rsidRPr="00237F2E">
        <w:rPr>
          <w:sz w:val="20"/>
          <w:szCs w:val="20"/>
        </w:rPr>
        <w:lastRenderedPageBreak/>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lastRenderedPageBreak/>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2</w:t>
      </w:r>
      <w:r w:rsidRPr="00237F2E">
        <w:rPr>
          <w:sz w:val="20"/>
          <w:szCs w:val="20"/>
        </w:rPr>
        <w:t>—nitrogen dioxide</w:t>
      </w:r>
    </w:p>
    <w:p w:rsidR="00237F2E" w:rsidRPr="00237F2E" w:rsidRDefault="00237F2E" w:rsidP="00FE0691">
      <w:pPr>
        <w:spacing w:after="120"/>
        <w:ind w:left="360"/>
        <w:rPr>
          <w:sz w:val="20"/>
          <w:szCs w:val="20"/>
        </w:rPr>
      </w:pPr>
      <w:r w:rsidRPr="00237F2E">
        <w:rPr>
          <w:sz w:val="20"/>
          <w:szCs w:val="20"/>
        </w:rPr>
        <w:t>NO</w:t>
      </w:r>
      <w:r w:rsidRPr="00237F2E">
        <w:rPr>
          <w:sz w:val="20"/>
          <w:szCs w:val="20"/>
          <w:vertAlign w:val="subscript"/>
        </w:rPr>
        <w:t>X</w:t>
      </w:r>
      <w:r w:rsidRPr="00237F2E">
        <w:rPr>
          <w:sz w:val="20"/>
          <w:szCs w:val="20"/>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10172C"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lastRenderedPageBreak/>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7B12B0"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7B12B0" w:rsidP="00A63DFD">
      <w:pPr>
        <w:spacing w:after="120"/>
        <w:ind w:left="720" w:hanging="360"/>
        <w:rPr>
          <w:sz w:val="20"/>
          <w:szCs w:val="20"/>
        </w:rPr>
      </w:pPr>
      <w:r>
        <w:rPr>
          <w:sz w:val="20"/>
          <w:szCs w:val="20"/>
        </w:rPr>
        <w:br w:type="page"/>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lastRenderedPageBreak/>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7B12B0" w:rsidP="008A0F72">
      <w:pPr>
        <w:spacing w:after="120"/>
        <w:ind w:left="360" w:hanging="360"/>
        <w:rPr>
          <w:sz w:val="20"/>
          <w:szCs w:val="20"/>
        </w:rPr>
      </w:pPr>
      <w:r>
        <w:rPr>
          <w:sz w:val="20"/>
          <w:szCs w:val="20"/>
        </w:rPr>
        <w:br w:type="page"/>
      </w:r>
      <w:r w:rsidR="00237F2E" w:rsidRPr="00237F2E">
        <w:rPr>
          <w:sz w:val="20"/>
          <w:szCs w:val="20"/>
        </w:rPr>
        <w:lastRenderedPageBreak/>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B12B0"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7B12B0" w:rsidP="008A0F72">
      <w:pPr>
        <w:spacing w:after="120"/>
        <w:ind w:left="720" w:hanging="360"/>
        <w:rPr>
          <w:sz w:val="20"/>
          <w:szCs w:val="20"/>
        </w:rPr>
      </w:pPr>
      <w:r>
        <w:rPr>
          <w:sz w:val="20"/>
          <w:szCs w:val="20"/>
        </w:rPr>
        <w:br w:type="page"/>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B12B0"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7B12B0" w:rsidP="008A0F72">
      <w:pPr>
        <w:spacing w:after="120"/>
        <w:ind w:left="720" w:hanging="360"/>
        <w:rPr>
          <w:sz w:val="20"/>
          <w:szCs w:val="20"/>
        </w:rPr>
      </w:pPr>
      <w:r>
        <w:rPr>
          <w:sz w:val="20"/>
          <w:szCs w:val="20"/>
        </w:rPr>
        <w:br w:type="page"/>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7B12B0" w:rsidP="00237F2E">
      <w:pPr>
        <w:spacing w:after="120"/>
        <w:outlineLvl w:val="4"/>
        <w:rPr>
          <w:b/>
          <w:bCs/>
          <w:sz w:val="20"/>
          <w:szCs w:val="20"/>
        </w:rPr>
      </w:pPr>
      <w:r>
        <w:rPr>
          <w:b/>
          <w:bCs/>
          <w:sz w:val="20"/>
          <w:szCs w:val="20"/>
        </w:rPr>
        <w:br w:type="page"/>
      </w:r>
      <w:r w:rsidR="00237F2E" w:rsidRPr="00237F2E">
        <w:rPr>
          <w:b/>
          <w:bCs/>
          <w:sz w:val="20"/>
          <w:szCs w:val="20"/>
        </w:rPr>
        <w:lastRenderedPageBreak/>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7B12B0"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 xml:space="preserve">g compliance with opacity standards. </w:t>
      </w:r>
    </w:p>
    <w:p w:rsidR="00237F2E" w:rsidRPr="00237F2E" w:rsidRDefault="007B12B0" w:rsidP="008A0F72">
      <w:pPr>
        <w:spacing w:after="120"/>
        <w:ind w:left="720" w:hanging="360"/>
        <w:rPr>
          <w:sz w:val="20"/>
          <w:szCs w:val="20"/>
        </w:rPr>
      </w:pPr>
      <w:r>
        <w:rPr>
          <w:sz w:val="20"/>
          <w:szCs w:val="20"/>
        </w:rPr>
        <w:br w:type="page"/>
      </w:r>
      <w:r>
        <w:rPr>
          <w:sz w:val="20"/>
          <w:szCs w:val="20"/>
        </w:rPr>
        <w:lastRenderedPageBreak/>
        <w:t xml:space="preserve">       </w:t>
      </w:r>
      <w:r w:rsidR="00237F2E" w:rsidRPr="00237F2E">
        <w:rPr>
          <w:sz w:val="20"/>
          <w:szCs w:val="20"/>
        </w:rPr>
        <w:t>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lastRenderedPageBreak/>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lastRenderedPageBreak/>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B12B0"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237F2E" w:rsidRPr="00237F2E" w:rsidRDefault="007B12B0" w:rsidP="00E2482A">
      <w:pPr>
        <w:spacing w:after="120"/>
        <w:ind w:left="360" w:hanging="360"/>
        <w:rPr>
          <w:sz w:val="20"/>
          <w:szCs w:val="20"/>
        </w:rPr>
      </w:pPr>
      <w:r>
        <w:rPr>
          <w:sz w:val="20"/>
          <w:szCs w:val="20"/>
        </w:rPr>
        <w:br w:type="page"/>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7B12B0"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7B12B0" w:rsidP="00E2482A">
      <w:pPr>
        <w:spacing w:after="120"/>
        <w:ind w:left="720" w:hanging="360"/>
        <w:rPr>
          <w:sz w:val="20"/>
          <w:szCs w:val="20"/>
        </w:rPr>
      </w:pPr>
      <w:r>
        <w:rPr>
          <w:sz w:val="20"/>
          <w:szCs w:val="20"/>
        </w:rPr>
        <w:br w:type="page"/>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B12B0"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 xml:space="preserve">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w:t>
      </w:r>
    </w:p>
    <w:p w:rsidR="00237F2E" w:rsidRPr="00237F2E" w:rsidRDefault="007B12B0" w:rsidP="00E2482A">
      <w:pPr>
        <w:spacing w:after="120"/>
        <w:ind w:left="720" w:hanging="360"/>
        <w:rPr>
          <w:sz w:val="20"/>
          <w:szCs w:val="20"/>
        </w:rPr>
      </w:pPr>
      <w:r>
        <w:rPr>
          <w:sz w:val="20"/>
          <w:szCs w:val="20"/>
        </w:rPr>
        <w:lastRenderedPageBreak/>
        <w:t xml:space="preserve">        </w:t>
      </w:r>
      <w:r w:rsidR="00237F2E" w:rsidRPr="00237F2E">
        <w:rPr>
          <w:sz w:val="20"/>
          <w:szCs w:val="20"/>
        </w:rPr>
        <w:t>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7B12B0"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7B12B0" w:rsidP="00E2482A">
      <w:pPr>
        <w:spacing w:after="120"/>
        <w:ind w:left="720" w:hanging="360"/>
        <w:rPr>
          <w:sz w:val="20"/>
          <w:szCs w:val="20"/>
        </w:rPr>
      </w:pPr>
      <w:r>
        <w:rPr>
          <w:sz w:val="20"/>
          <w:szCs w:val="20"/>
        </w:rPr>
        <w:br w:type="page"/>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lastRenderedPageBreak/>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237F2E" w:rsidRPr="00237F2E" w:rsidRDefault="007B12B0" w:rsidP="00237F2E">
      <w:pPr>
        <w:spacing w:after="120"/>
        <w:outlineLvl w:val="4"/>
        <w:rPr>
          <w:b/>
          <w:bCs/>
          <w:sz w:val="20"/>
          <w:szCs w:val="20"/>
        </w:rPr>
      </w:pPr>
      <w:r>
        <w:rPr>
          <w:b/>
          <w:bCs/>
          <w:sz w:val="20"/>
          <w:szCs w:val="20"/>
        </w:rPr>
        <w:br w:type="page"/>
      </w:r>
      <w:r w:rsidR="00237F2E" w:rsidRPr="00237F2E">
        <w:rPr>
          <w:b/>
          <w:bCs/>
          <w:sz w:val="20"/>
          <w:szCs w:val="20"/>
        </w:rPr>
        <w:lastRenderedPageBreak/>
        <w:t>§ 60.17   Incorporations by reference.</w:t>
      </w:r>
    </w:p>
    <w:p w:rsidR="0007049D" w:rsidRPr="00201165" w:rsidRDefault="0007049D" w:rsidP="0007049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ASTM A482–76, 93, Standard Specification for Ferrochromesilicon,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ASTM A483–64, 74 (Reapproved 1988), Standard Specification for Silicomanganese,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ASTM D86–78, 82, 90, 93, 95, 96, Distillation of Petroleum Products, IBR approved for §§60.562–2(d), 60.593(d), 60.593a(d), and 60.633(h).</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ASTM D975–78, 96, 98a, Standard Specification for Diesel Fuel Oils, IBR approved for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(17)</w:t>
      </w:r>
      <w:r>
        <w:rPr>
          <w:sz w:val="20"/>
          <w:szCs w:val="20"/>
        </w:rPr>
        <w:tab/>
      </w:r>
      <w:r w:rsidRPr="00201165">
        <w:rPr>
          <w:sz w:val="20"/>
          <w:szCs w:val="20"/>
        </w:rPr>
        <w:t>ASTM D1072–80, 90 (Reapproved 1994), Standard Test Method for Total Sulfur in Fuel Gases,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2003)e1, Standard Test Method for Sulfur in Petroleum Products (Lamp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(29)</w:t>
      </w:r>
      <w:r>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r w:rsidR="00FD1095">
        <w:rPr>
          <w:sz w:val="20"/>
          <w:szCs w:val="20"/>
        </w:rPr>
        <w:t>Noncondensi</w:t>
      </w:r>
      <w:r w:rsidR="00FD1095" w:rsidRPr="00201165">
        <w:rPr>
          <w:sz w:val="20"/>
          <w:szCs w:val="20"/>
        </w:rPr>
        <w:t>ble</w:t>
      </w:r>
      <w:r w:rsidRPr="00201165">
        <w:rPr>
          <w:sz w:val="20"/>
          <w:szCs w:val="20"/>
        </w:rPr>
        <w:t xml:space="preserve"> Gases in C3 and Lighter Hydrocarbon Products by Gas Chromatography, IBR approved for §§60.485(g)(5) and 60.485a(g)(5).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§60.685(c)(3)(i).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ASTM D2880–78, 96, Standard Specification for Gas Turbine Fuel Oils, IBR approved for §§60.111(b), 60.111a(b), and 60.335(d).</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§60.45(f)(5)(i) and Appendix A: Method 19, Section 12.3.2.3.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(49)</w:t>
      </w:r>
      <w:r>
        <w:rPr>
          <w:sz w:val="20"/>
          <w:szCs w:val="20"/>
        </w:rPr>
        <w:tab/>
      </w:r>
      <w:r w:rsidRPr="00201165">
        <w:rPr>
          <w:sz w:val="20"/>
          <w:szCs w:val="20"/>
        </w:rPr>
        <w:t>ASTM D3246–81, 92, 96, Standard Test Method for Sulfur in Petroleum Gas by Oxidative Microcoulometry,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ASTM D3246–05, Standard Test Method for Sulfur in Petroleum Gas by Oxidative Microcoulometry,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(75)</w:t>
      </w:r>
      <w:r>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ASTM D5762–02, Standard Test Method for Nitrogen in Petroleum and Petroleum Products by Boat-Inlet Chemiluminescence,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§§60.485a(d)(1), 60.593(b)(2), 60.593a(b)(2), and 60.632(f).</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lastRenderedPageBreak/>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smartTag w:uri="urn:schemas-microsoft-com:office:smarttags" w:element="place">
        <w:r w:rsidRPr="00201165">
          <w:rPr>
            <w:sz w:val="20"/>
            <w:szCs w:val="20"/>
          </w:rPr>
          <w:t xml:space="preserve">Washington,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§§60.111(i), 60.111a(f), 60.111a(f)(1) and 60.116b(e)(2)(i).</w:t>
      </w:r>
    </w:p>
    <w:p w:rsidR="0007049D" w:rsidRPr="00201165" w:rsidRDefault="0007049D" w:rsidP="0007049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smartTag w:uri="urn:schemas-microsoft-com:office:smarttags" w:element="place">
        <w:r w:rsidRPr="00201165">
          <w:rPr>
            <w:sz w:val="20"/>
            <w:szCs w:val="20"/>
          </w:rPr>
          <w:t xml:space="preserve">Washington,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07049D" w:rsidRPr="00201165" w:rsidRDefault="0007049D" w:rsidP="0007049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333 Pfingsten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07049D" w:rsidRPr="00201165" w:rsidRDefault="0007049D" w:rsidP="0007049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07049D" w:rsidRPr="00201165" w:rsidRDefault="0007049D" w:rsidP="0007049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ASME QRO–1–1994, Standard for the Qualification and Certification of Resource Recovery Facility Operators, IBR approved for §§60.56a, 60.54b(a), 60.54b(b), 60.1185(a), 60.1185(c)(2), 60.1675(a), and 60.1675(c)(2).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ASME PTC 4.1–1964 (Reaffirmed 1991), Power Test Codes: Test Code for Steam Generating Units (with 1968 and 1969 Addenda), IBR approved for §§60.46b of subpart Db of this part, 60.58a(h)(6)(ii), 60.58b(i)(6)(ii), 60.1320(a)(3) and 60.1810(a)(3).</w:t>
      </w:r>
    </w:p>
    <w:p w:rsidR="0007049D" w:rsidRPr="00201165" w:rsidRDefault="0007049D" w:rsidP="0007049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§§60.58a(h)(6)(ii), 60.58b(i)(6)(ii), 60.1320(a)4), and 60.1810(a)(4).</w:t>
      </w:r>
    </w:p>
    <w:p w:rsidR="0007049D" w:rsidRPr="00201165" w:rsidRDefault="0007049D" w:rsidP="0007049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201165" w:rsidRDefault="0007049D" w:rsidP="0007049D">
      <w:pPr>
        <w:pStyle w:val="NormalWeb"/>
        <w:spacing w:before="0" w:beforeAutospacing="0" w:after="120" w:afterAutospacing="0"/>
        <w:ind w:left="360" w:hanging="360"/>
        <w:rPr>
          <w:sz w:val="20"/>
          <w:szCs w:val="20"/>
        </w:rPr>
      </w:pPr>
      <w:r>
        <w:rPr>
          <w:sz w:val="20"/>
          <w:szCs w:val="20"/>
        </w:rPr>
        <w:t>(i)</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07049D" w:rsidRPr="00201165" w:rsidRDefault="0007049D" w:rsidP="0007049D">
      <w:pPr>
        <w:pStyle w:val="NormalWeb"/>
        <w:spacing w:before="0" w:beforeAutospacing="0" w:after="120" w:afterAutospacing="0"/>
        <w:ind w:left="360" w:hanging="360"/>
        <w:rPr>
          <w:sz w:val="20"/>
          <w:szCs w:val="20"/>
        </w:rPr>
      </w:pPr>
      <w:r>
        <w:rPr>
          <w:sz w:val="20"/>
          <w:szCs w:val="20"/>
        </w:rPr>
        <w:lastRenderedPageBreak/>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07049D" w:rsidRPr="00201165" w:rsidRDefault="0007049D" w:rsidP="0007049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rPr>
          <w:sz w:val="20"/>
          <w:szCs w:val="20"/>
        </w:rPr>
      </w:pPr>
      <w:r w:rsidRPr="00201165">
        <w:rPr>
          <w:sz w:val="20"/>
          <w:szCs w:val="20"/>
        </w:rPr>
        <w:t>[48 FR 3735, Jan. 27, 1983]</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For</w:t>
      </w:r>
      <w:r w:rsidR="0007049D">
        <w:rPr>
          <w:sz w:val="20"/>
          <w:szCs w:val="20"/>
        </w:rPr>
        <w:t xml:space="preserve"> </w:t>
      </w:r>
      <w:r w:rsidRPr="00237F2E">
        <w:rPr>
          <w:sz w:val="20"/>
          <w:szCs w:val="20"/>
        </w:rPr>
        <w:t>Federal Register</w:t>
      </w:r>
      <w:r w:rsidR="0007049D">
        <w:rPr>
          <w:sz w:val="20"/>
          <w:szCs w:val="20"/>
        </w:rPr>
        <w:t xml:space="preserve"> </w:t>
      </w:r>
      <w:r w:rsidRPr="00237F2E">
        <w:rPr>
          <w:sz w:val="20"/>
          <w:szCs w:val="20"/>
        </w:rPr>
        <w:t>citations affecting §60.17,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lastRenderedPageBreak/>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lastRenderedPageBreak/>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2C7CA7" w:rsidP="007E21C3">
      <w:pPr>
        <w:spacing w:after="120"/>
        <w:jc w:val="center"/>
        <w:rPr>
          <w:sz w:val="20"/>
          <w:szCs w:val="20"/>
        </w:rPr>
      </w:pPr>
      <w:r w:rsidRPr="0010172C">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5pt;height:25.5pt">
            <v:imagedata r:id="rId10" r:href="rId11"/>
          </v:shape>
        </w:pict>
      </w:r>
    </w:p>
    <w:p w:rsidR="00237F2E" w:rsidRPr="00237F2E" w:rsidRDefault="0010172C" w:rsidP="007E21C3">
      <w:pPr>
        <w:spacing w:after="120"/>
        <w:jc w:val="center"/>
        <w:rPr>
          <w:sz w:val="20"/>
          <w:szCs w:val="20"/>
        </w:rPr>
      </w:pPr>
      <w:hyperlink r:id="rId12"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2C7CA7" w:rsidP="007E21C3">
      <w:pPr>
        <w:spacing w:after="120"/>
        <w:jc w:val="center"/>
        <w:rPr>
          <w:sz w:val="20"/>
          <w:szCs w:val="20"/>
        </w:rPr>
      </w:pPr>
      <w:r w:rsidRPr="0010172C">
        <w:rPr>
          <w:sz w:val="20"/>
          <w:szCs w:val="20"/>
        </w:rPr>
        <w:pict>
          <v:shape id="_x0000_i1026" type="#_x0000_t75" alt="" style="width:266.25pt;height:45.75pt">
            <v:imagedata r:id="rId13" r:href="rId14"/>
          </v:shape>
        </w:pict>
      </w:r>
    </w:p>
    <w:p w:rsidR="00237F2E" w:rsidRPr="00237F2E" w:rsidRDefault="0010172C" w:rsidP="007E21C3">
      <w:pPr>
        <w:spacing w:after="120"/>
        <w:jc w:val="center"/>
        <w:rPr>
          <w:sz w:val="20"/>
          <w:szCs w:val="20"/>
        </w:rPr>
      </w:pPr>
      <w:hyperlink r:id="rId15"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w:t>
      </w:r>
      <w:r w:rsidRPr="00237F2E">
        <w:rPr>
          <w:sz w:val="20"/>
          <w:szCs w:val="20"/>
        </w:rPr>
        <w:lastRenderedPageBreak/>
        <w:t>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lastRenderedPageBreak/>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2C7CA7" w:rsidP="0095587E">
      <w:pPr>
        <w:spacing w:after="120"/>
        <w:jc w:val="center"/>
        <w:rPr>
          <w:sz w:val="20"/>
          <w:szCs w:val="20"/>
        </w:rPr>
      </w:pPr>
      <w:r w:rsidRPr="0010172C">
        <w:rPr>
          <w:sz w:val="20"/>
          <w:szCs w:val="20"/>
        </w:rPr>
        <w:pict>
          <v:shape id="_x0000_i1027" type="#_x0000_t75" alt="" style="width:86.25pt;height:36pt">
            <v:imagedata r:id="rId16" r:href="rId17"/>
          </v:shape>
        </w:pict>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lastRenderedPageBreak/>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lastRenderedPageBreak/>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lastRenderedPageBreak/>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C117AC">
      <w:headerReference w:type="even" r:id="rId18"/>
      <w:headerReference w:type="default" r:id="rId19"/>
      <w:footerReference w:type="even" r:id="rId20"/>
      <w:footerReference w:type="default" r:id="rId21"/>
      <w:headerReference w:type="first" r:id="rId22"/>
      <w:footerReference w:type="first" r:id="rId23"/>
      <w:pgSz w:w="12240" w:h="15840" w:code="1"/>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03E" w:rsidRDefault="003B703E">
      <w:r>
        <w:separator/>
      </w:r>
    </w:p>
  </w:endnote>
  <w:endnote w:type="continuationSeparator" w:id="0">
    <w:p w:rsidR="003B703E" w:rsidRDefault="003B7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F55" w:rsidRDefault="00A07F55" w:rsidP="00126AD3">
    <w:pPr>
      <w:pStyle w:val="Footer"/>
      <w:pBdr>
        <w:top w:val="single" w:sz="4" w:space="1" w:color="auto"/>
      </w:pBdr>
      <w:spacing w:before="240"/>
      <w:jc w:val="center"/>
      <w:rPr>
        <w:sz w:val="20"/>
        <w:szCs w:val="20"/>
      </w:rPr>
    </w:pPr>
  </w:p>
  <w:p w:rsidR="00A07F55" w:rsidRDefault="002C7CA7" w:rsidP="00A07F55">
    <w:pPr>
      <w:pStyle w:val="Footer"/>
      <w:pBdr>
        <w:top w:val="single" w:sz="4" w:space="1" w:color="auto"/>
      </w:pBdr>
      <w:rPr>
        <w:rFonts w:ascii="Book Antiqua" w:hAnsi="Book Antiqua"/>
        <w:sz w:val="18"/>
        <w:szCs w:val="18"/>
      </w:rPr>
    </w:pPr>
    <w:r>
      <w:rPr>
        <w:rFonts w:ascii="Book Antiqua" w:hAnsi="Book Antiqua"/>
        <w:sz w:val="18"/>
        <w:szCs w:val="18"/>
      </w:rPr>
      <w:t>APAC Southeast, Inc.</w:t>
    </w:r>
    <w:r w:rsidR="00A07F55">
      <w:rPr>
        <w:rFonts w:ascii="Book Antiqua" w:hAnsi="Book Antiqua"/>
        <w:sz w:val="18"/>
        <w:szCs w:val="18"/>
      </w:rPr>
      <w:tab/>
    </w:r>
    <w:r w:rsidR="00A07F55">
      <w:rPr>
        <w:rFonts w:ascii="Book Antiqua" w:hAnsi="Book Antiqua"/>
        <w:sz w:val="18"/>
        <w:szCs w:val="18"/>
      </w:rPr>
      <w:tab/>
    </w:r>
    <w:r>
      <w:rPr>
        <w:rFonts w:ascii="Book Antiqua" w:hAnsi="Book Antiqua"/>
        <w:sz w:val="18"/>
        <w:szCs w:val="18"/>
      </w:rPr>
      <w:t xml:space="preserve">              A</w:t>
    </w:r>
    <w:r w:rsidR="00A07F55" w:rsidRPr="002C7CB2">
      <w:rPr>
        <w:rStyle w:val="PageNumber"/>
        <w:rFonts w:ascii="Book Antiqua" w:hAnsi="Book Antiqua"/>
        <w:sz w:val="18"/>
        <w:szCs w:val="18"/>
      </w:rPr>
      <w:t xml:space="preserve">ir Permit No. </w:t>
    </w:r>
    <w:r>
      <w:rPr>
        <w:rStyle w:val="PageNumber"/>
        <w:rFonts w:ascii="Book Antiqua" w:hAnsi="Book Antiqua"/>
        <w:sz w:val="18"/>
        <w:szCs w:val="18"/>
      </w:rPr>
      <w:t>7775056</w:t>
    </w:r>
    <w:r w:rsidR="00A07F55" w:rsidRPr="002C7CB2">
      <w:rPr>
        <w:rStyle w:val="PageNumber"/>
        <w:rFonts w:ascii="Book Antiqua" w:hAnsi="Book Antiqua"/>
        <w:sz w:val="18"/>
        <w:szCs w:val="18"/>
      </w:rPr>
      <w:t>-01</w:t>
    </w:r>
    <w:r w:rsidR="007B12B0">
      <w:rPr>
        <w:rStyle w:val="PageNumber"/>
        <w:rFonts w:ascii="Book Antiqua" w:hAnsi="Book Antiqua"/>
        <w:sz w:val="18"/>
        <w:szCs w:val="18"/>
      </w:rPr>
      <w:t>2</w:t>
    </w:r>
    <w:r w:rsidR="00A07F55" w:rsidRPr="002C7CB2">
      <w:rPr>
        <w:rStyle w:val="PageNumber"/>
        <w:rFonts w:ascii="Book Antiqua" w:hAnsi="Book Antiqua"/>
        <w:sz w:val="18"/>
        <w:szCs w:val="18"/>
      </w:rPr>
      <w:t>-A</w:t>
    </w:r>
    <w:r w:rsidR="007B12B0">
      <w:rPr>
        <w:rStyle w:val="PageNumber"/>
        <w:rFonts w:ascii="Book Antiqua" w:hAnsi="Book Antiqua"/>
        <w:sz w:val="18"/>
        <w:szCs w:val="18"/>
      </w:rPr>
      <w:t>O</w:t>
    </w:r>
  </w:p>
  <w:p w:rsidR="00A07F55" w:rsidRDefault="002C7CA7" w:rsidP="00A07F55">
    <w:pPr>
      <w:pStyle w:val="Footer"/>
      <w:pBdr>
        <w:top w:val="single" w:sz="4" w:space="1" w:color="auto"/>
      </w:pBdr>
      <w:rPr>
        <w:sz w:val="20"/>
        <w:szCs w:val="20"/>
      </w:rPr>
    </w:pPr>
    <w:r>
      <w:rPr>
        <w:rFonts w:ascii="Book Antiqua" w:hAnsi="Book Antiqua"/>
        <w:sz w:val="18"/>
        <w:szCs w:val="18"/>
      </w:rPr>
      <w:t>Asphalt Plant No. 4</w:t>
    </w:r>
    <w:r>
      <w:rPr>
        <w:rFonts w:ascii="Book Antiqua" w:hAnsi="Book Antiqua"/>
        <w:sz w:val="18"/>
        <w:szCs w:val="18"/>
      </w:rPr>
      <w:tab/>
    </w:r>
    <w:r w:rsidR="007B12B0">
      <w:rPr>
        <w:rFonts w:ascii="Book Antiqua" w:hAnsi="Book Antiqua"/>
        <w:sz w:val="18"/>
        <w:szCs w:val="18"/>
      </w:rPr>
      <w:tab/>
      <w:t xml:space="preserve">                                      </w:t>
    </w:r>
    <w:r w:rsidR="007B12B0">
      <w:rPr>
        <w:rStyle w:val="PageNumber"/>
        <w:rFonts w:ascii="Book Antiqua" w:hAnsi="Book Antiqua"/>
        <w:sz w:val="18"/>
        <w:szCs w:val="18"/>
      </w:rPr>
      <w:t xml:space="preserve">Air Operating </w:t>
    </w:r>
    <w:r w:rsidR="00A07F55" w:rsidRPr="002C7CB2">
      <w:rPr>
        <w:rStyle w:val="PageNumber"/>
        <w:rFonts w:ascii="Book Antiqua" w:hAnsi="Book Antiqua"/>
        <w:sz w:val="18"/>
        <w:szCs w:val="18"/>
      </w:rPr>
      <w:t>Permit</w:t>
    </w:r>
    <w:r w:rsidR="007B12B0">
      <w:rPr>
        <w:rStyle w:val="PageNumber"/>
        <w:rFonts w:ascii="Book Antiqua" w:hAnsi="Book Antiqua"/>
        <w:sz w:val="18"/>
        <w:szCs w:val="18"/>
      </w:rPr>
      <w:t xml:space="preserve"> </w:t>
    </w:r>
    <w:r>
      <w:rPr>
        <w:rStyle w:val="PageNumber"/>
        <w:rFonts w:ascii="Book Antiqua" w:hAnsi="Book Antiqua"/>
        <w:sz w:val="18"/>
        <w:szCs w:val="18"/>
      </w:rPr>
      <w:t>Renewal</w:t>
    </w:r>
  </w:p>
  <w:p w:rsidR="003B703E" w:rsidRPr="00126AD3" w:rsidRDefault="003B703E" w:rsidP="00126AD3">
    <w:pPr>
      <w:pStyle w:val="Footer"/>
      <w:pBdr>
        <w:top w:val="single" w:sz="4" w:space="1" w:color="auto"/>
      </w:pBdr>
      <w:spacing w:before="240"/>
      <w:jc w:val="center"/>
      <w:rPr>
        <w:sz w:val="20"/>
        <w:szCs w:val="20"/>
      </w:rPr>
    </w:pPr>
    <w:r w:rsidRPr="00126AD3">
      <w:rPr>
        <w:sz w:val="20"/>
        <w:szCs w:val="20"/>
      </w:rPr>
      <w:t xml:space="preserve">Page </w:t>
    </w:r>
    <w:r w:rsidR="0010172C" w:rsidRPr="00126AD3">
      <w:rPr>
        <w:rStyle w:val="PageNumber"/>
        <w:sz w:val="20"/>
        <w:szCs w:val="20"/>
      </w:rPr>
      <w:fldChar w:fldCharType="begin"/>
    </w:r>
    <w:r w:rsidRPr="00126AD3">
      <w:rPr>
        <w:rStyle w:val="PageNumber"/>
        <w:sz w:val="20"/>
        <w:szCs w:val="20"/>
      </w:rPr>
      <w:instrText xml:space="preserve"> PAGE </w:instrText>
    </w:r>
    <w:r w:rsidR="0010172C" w:rsidRPr="00126AD3">
      <w:rPr>
        <w:rStyle w:val="PageNumber"/>
        <w:sz w:val="20"/>
        <w:szCs w:val="20"/>
      </w:rPr>
      <w:fldChar w:fldCharType="separate"/>
    </w:r>
    <w:r w:rsidR="002C7CA7">
      <w:rPr>
        <w:rStyle w:val="PageNumber"/>
        <w:noProof/>
        <w:sz w:val="20"/>
        <w:szCs w:val="20"/>
      </w:rPr>
      <w:t>1</w:t>
    </w:r>
    <w:r w:rsidR="0010172C" w:rsidRPr="00126AD3">
      <w:rPr>
        <w:rStyle w:val="PageNumber"/>
        <w:sz w:val="20"/>
        <w:szCs w:val="20"/>
      </w:rPr>
      <w:fldChar w:fldCharType="end"/>
    </w:r>
    <w:r w:rsidRPr="00126AD3">
      <w:rPr>
        <w:rStyle w:val="PageNumber"/>
        <w:sz w:val="20"/>
        <w:szCs w:val="20"/>
      </w:rPr>
      <w:t xml:space="preserve"> of </w:t>
    </w:r>
    <w:r w:rsidR="0010172C" w:rsidRPr="00126AD3">
      <w:rPr>
        <w:rStyle w:val="PageNumber"/>
        <w:sz w:val="20"/>
        <w:szCs w:val="20"/>
      </w:rPr>
      <w:fldChar w:fldCharType="begin"/>
    </w:r>
    <w:r w:rsidRPr="00126AD3">
      <w:rPr>
        <w:rStyle w:val="PageNumber"/>
        <w:sz w:val="20"/>
        <w:szCs w:val="20"/>
      </w:rPr>
      <w:instrText xml:space="preserve"> NUMPAGES </w:instrText>
    </w:r>
    <w:r w:rsidR="0010172C" w:rsidRPr="00126AD3">
      <w:rPr>
        <w:rStyle w:val="PageNumber"/>
        <w:sz w:val="20"/>
        <w:szCs w:val="20"/>
      </w:rPr>
      <w:fldChar w:fldCharType="separate"/>
    </w:r>
    <w:r w:rsidR="002C7CA7">
      <w:rPr>
        <w:rStyle w:val="PageNumber"/>
        <w:noProof/>
        <w:sz w:val="20"/>
        <w:szCs w:val="20"/>
      </w:rPr>
      <w:t>35</w:t>
    </w:r>
    <w:r w:rsidR="0010172C" w:rsidRPr="00126AD3">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03E" w:rsidRDefault="007B12B0">
      <w:r>
        <w:separator/>
      </w:r>
    </w:p>
  </w:footnote>
  <w:footnote w:type="continuationSeparator" w:id="0">
    <w:p w:rsidR="003B703E" w:rsidRDefault="003B7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03E" w:rsidRPr="00C9435D" w:rsidRDefault="003B703E" w:rsidP="005C7D75">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w:t>
    </w:r>
    <w:r>
      <w:rPr>
        <w:rFonts w:ascii="Book Antiqua" w:hAnsi="Book Antiqua"/>
        <w:b/>
        <w:caps/>
        <w:szCs w:val="22"/>
      </w:rPr>
      <w:t xml:space="preserve">x </w:t>
    </w:r>
    <w:r w:rsidRPr="00C9435D">
      <w:rPr>
        <w:rFonts w:ascii="Book Antiqua" w:hAnsi="Book Antiqua"/>
        <w:b/>
        <w:caps/>
        <w:szCs w:val="22"/>
      </w:rPr>
      <w:t>E (</w:t>
    </w:r>
    <w:r w:rsidR="000A3589">
      <w:rPr>
        <w:rFonts w:ascii="Book Antiqua" w:hAnsi="Book Antiqua"/>
        <w:b/>
        <w:caps/>
        <w:szCs w:val="22"/>
      </w:rPr>
      <w:t>FINAL</w:t>
    </w:r>
    <w:r w:rsidRPr="00C9435D">
      <w:rPr>
        <w:rFonts w:ascii="Book Antiqua" w:hAnsi="Book Antiqua"/>
        <w:b/>
        <w:caps/>
        <w:szCs w:val="22"/>
      </w:rPr>
      <w:t>)</w:t>
    </w:r>
  </w:p>
  <w:p w:rsidR="003B703E" w:rsidRDefault="003B703E" w:rsidP="005C7D75">
    <w:pPr>
      <w:pStyle w:val="Header"/>
      <w:jc w:val="center"/>
      <w:rPr>
        <w:rFonts w:ascii="Book Antiqua" w:hAnsi="Book Antiqua"/>
        <w:b/>
        <w:szCs w:val="22"/>
      </w:rPr>
    </w:pPr>
    <w:r>
      <w:rPr>
        <w:rFonts w:ascii="Book Antiqua" w:hAnsi="Book Antiqua"/>
        <w:b/>
        <w:szCs w:val="22"/>
      </w:rPr>
      <w:t>NSPS SUBPART A - GENERAL PROVISIONS</w:t>
    </w:r>
  </w:p>
  <w:p w:rsidR="003B703E" w:rsidRPr="005C7D75" w:rsidRDefault="003B703E" w:rsidP="005C7D75">
    <w:pPr>
      <w:pStyle w:val="Header"/>
      <w:jc w:val="cent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oNotTrackMoves/>
  <w:defaultTabStop w:val="360"/>
  <w:characterSpacingControl w:val="doNotCompress"/>
  <w:hdrShapeDefaults>
    <o:shapedefaults v:ext="edit" spidmax="163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368AC"/>
    <w:rsid w:val="00042C4A"/>
    <w:rsid w:val="0007049D"/>
    <w:rsid w:val="00090AB4"/>
    <w:rsid w:val="000946BB"/>
    <w:rsid w:val="000A3589"/>
    <w:rsid w:val="000A6B17"/>
    <w:rsid w:val="000D1D78"/>
    <w:rsid w:val="000D38BB"/>
    <w:rsid w:val="0010172C"/>
    <w:rsid w:val="00126AD3"/>
    <w:rsid w:val="001816C9"/>
    <w:rsid w:val="00184392"/>
    <w:rsid w:val="00187A61"/>
    <w:rsid w:val="00197DA2"/>
    <w:rsid w:val="001B72E9"/>
    <w:rsid w:val="001C7811"/>
    <w:rsid w:val="00201165"/>
    <w:rsid w:val="00206A4B"/>
    <w:rsid w:val="00237F2E"/>
    <w:rsid w:val="00253920"/>
    <w:rsid w:val="00255CAF"/>
    <w:rsid w:val="00265426"/>
    <w:rsid w:val="002771C6"/>
    <w:rsid w:val="002C7CA7"/>
    <w:rsid w:val="002D34C6"/>
    <w:rsid w:val="002E08D0"/>
    <w:rsid w:val="00335FFB"/>
    <w:rsid w:val="003377F0"/>
    <w:rsid w:val="003A21F1"/>
    <w:rsid w:val="003B703E"/>
    <w:rsid w:val="004336C7"/>
    <w:rsid w:val="004814CE"/>
    <w:rsid w:val="0048613E"/>
    <w:rsid w:val="004B1C8F"/>
    <w:rsid w:val="004B3A35"/>
    <w:rsid w:val="004E6C18"/>
    <w:rsid w:val="00560FD9"/>
    <w:rsid w:val="005621BF"/>
    <w:rsid w:val="005A1E44"/>
    <w:rsid w:val="005C7D75"/>
    <w:rsid w:val="005D6A88"/>
    <w:rsid w:val="0062272A"/>
    <w:rsid w:val="00630A8B"/>
    <w:rsid w:val="00633D71"/>
    <w:rsid w:val="00644077"/>
    <w:rsid w:val="0065288C"/>
    <w:rsid w:val="00654332"/>
    <w:rsid w:val="006A053D"/>
    <w:rsid w:val="006A1764"/>
    <w:rsid w:val="006A17AF"/>
    <w:rsid w:val="006B37F4"/>
    <w:rsid w:val="006E21EA"/>
    <w:rsid w:val="006F35BE"/>
    <w:rsid w:val="007201FE"/>
    <w:rsid w:val="0072635D"/>
    <w:rsid w:val="007804AC"/>
    <w:rsid w:val="00785FA0"/>
    <w:rsid w:val="007B0ABF"/>
    <w:rsid w:val="007B12B0"/>
    <w:rsid w:val="007B232F"/>
    <w:rsid w:val="007E21C3"/>
    <w:rsid w:val="007E4104"/>
    <w:rsid w:val="007E6A66"/>
    <w:rsid w:val="007F1A58"/>
    <w:rsid w:val="00867BC4"/>
    <w:rsid w:val="008A0F72"/>
    <w:rsid w:val="008E7638"/>
    <w:rsid w:val="009112B3"/>
    <w:rsid w:val="00935F62"/>
    <w:rsid w:val="0095355B"/>
    <w:rsid w:val="0095587E"/>
    <w:rsid w:val="009957DA"/>
    <w:rsid w:val="00A07F55"/>
    <w:rsid w:val="00A33E56"/>
    <w:rsid w:val="00A537EC"/>
    <w:rsid w:val="00A63DFD"/>
    <w:rsid w:val="00A65820"/>
    <w:rsid w:val="00A74401"/>
    <w:rsid w:val="00AB4789"/>
    <w:rsid w:val="00AC2B3D"/>
    <w:rsid w:val="00AE4679"/>
    <w:rsid w:val="00B214EB"/>
    <w:rsid w:val="00B22977"/>
    <w:rsid w:val="00B2576B"/>
    <w:rsid w:val="00B271E9"/>
    <w:rsid w:val="00B53BB6"/>
    <w:rsid w:val="00C117AC"/>
    <w:rsid w:val="00C334D6"/>
    <w:rsid w:val="00C371FD"/>
    <w:rsid w:val="00C43B55"/>
    <w:rsid w:val="00CF15AD"/>
    <w:rsid w:val="00CF611D"/>
    <w:rsid w:val="00D102D1"/>
    <w:rsid w:val="00D32614"/>
    <w:rsid w:val="00D60195"/>
    <w:rsid w:val="00D66F9A"/>
    <w:rsid w:val="00D71A30"/>
    <w:rsid w:val="00D739B8"/>
    <w:rsid w:val="00D81EFF"/>
    <w:rsid w:val="00DB7236"/>
    <w:rsid w:val="00DC0BBE"/>
    <w:rsid w:val="00E12830"/>
    <w:rsid w:val="00E2482A"/>
    <w:rsid w:val="00E43118"/>
    <w:rsid w:val="00EA7338"/>
    <w:rsid w:val="00EB121D"/>
    <w:rsid w:val="00EF4C32"/>
    <w:rsid w:val="00F13E8B"/>
    <w:rsid w:val="00F170E0"/>
    <w:rsid w:val="00F26692"/>
    <w:rsid w:val="00F30F8B"/>
    <w:rsid w:val="00F53DA2"/>
    <w:rsid w:val="00F56B0D"/>
    <w:rsid w:val="00FD1095"/>
    <w:rsid w:val="00FE06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58"/>
    <w:rPr>
      <w:sz w:val="24"/>
      <w:szCs w:val="24"/>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link w:val="HeaderChar"/>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erChar">
    <w:name w:val="Header Char"/>
    <w:basedOn w:val="DefaultParagraphFont"/>
    <w:link w:val="Header"/>
    <w:uiPriority w:val="99"/>
    <w:rsid w:val="005C7D75"/>
    <w:rPr>
      <w:sz w:val="24"/>
      <w:szCs w:val="24"/>
    </w:rPr>
  </w:style>
  <w:style w:type="paragraph" w:styleId="BalloonText">
    <w:name w:val="Balloon Text"/>
    <w:basedOn w:val="Normal"/>
    <w:link w:val="BalloonTextChar"/>
    <w:rsid w:val="005C7D75"/>
    <w:rPr>
      <w:rFonts w:ascii="Tahoma" w:hAnsi="Tahoma" w:cs="Tahoma"/>
      <w:sz w:val="16"/>
      <w:szCs w:val="16"/>
    </w:rPr>
  </w:style>
  <w:style w:type="character" w:customStyle="1" w:styleId="BalloonTextChar">
    <w:name w:val="Balloon Text Char"/>
    <w:basedOn w:val="DefaultParagraphFont"/>
    <w:link w:val="BalloonText"/>
    <w:rsid w:val="005C7D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image" Target="http://www.access.gpo.gov/ecfr/graphics/er22de08.007.gi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ccess.gpo.gov/ecfr/graphics/ec01jn92.008.gi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ccess.gpo.gov/ecfr/graphics/pdfs/ec01jn92.009.pdf"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http://www.access.gpo.gov/ecfr/graphics/ec01jn92.009.gif"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19423</Words>
  <Characters>106333</Characters>
  <Application>Microsoft Office Word</Application>
  <DocSecurity>0</DocSecurity>
  <Lines>886</Lines>
  <Paragraphs>251</Paragraphs>
  <ScaleCrop>false</ScaleCrop>
  <Company/>
  <LinksUpToDate>false</LinksUpToDate>
  <CharactersWithSpaces>125505</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2012-05-21T12:57:00Z</dcterms:created>
  <dcterms:modified xsi:type="dcterms:W3CDTF">2013-01-16T15:07:00Z</dcterms:modified>
</cp:coreProperties>
</file>